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B0AF" w14:textId="4917D451" w:rsidR="001B6C02" w:rsidRPr="004F5573" w:rsidRDefault="00E713A0" w:rsidP="00D85DE7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573">
        <w:rPr>
          <w:rFonts w:ascii="Times New Roman" w:eastAsia="Times New Roman" w:hAnsi="Times New Roman" w:cs="Times New Roman"/>
          <w:b/>
          <w:sz w:val="28"/>
          <w:szCs w:val="28"/>
        </w:rPr>
        <w:t>Triamine</w:t>
      </w:r>
      <w:r w:rsidR="000A5AB6"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-Grafted </w:t>
      </w:r>
      <w:r w:rsidR="000A5AB6"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Mesoporous </w:t>
      </w:r>
      <w:r w:rsidR="000A5AB6"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Silica </w:t>
      </w:r>
      <w:r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Materials </w:t>
      </w:r>
      <w:r w:rsidR="000A5AB6"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for </w:t>
      </w:r>
      <w:r w:rsidRPr="004F5573">
        <w:rPr>
          <w:rFonts w:ascii="Times New Roman" w:eastAsia="Times New Roman" w:hAnsi="Times New Roman" w:cs="Times New Roman"/>
          <w:b/>
          <w:sz w:val="28"/>
          <w:szCs w:val="28"/>
        </w:rPr>
        <w:t>CO</w:t>
      </w:r>
      <w:r w:rsidRPr="004F557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4F5573">
        <w:rPr>
          <w:rFonts w:ascii="Times New Roman" w:eastAsia="Times New Roman" w:hAnsi="Times New Roman" w:cs="Times New Roman"/>
          <w:b/>
          <w:sz w:val="28"/>
          <w:szCs w:val="28"/>
        </w:rPr>
        <w:t xml:space="preserve"> Capture from the Atmosphere</w:t>
      </w:r>
    </w:p>
    <w:p w14:paraId="31194DE9" w14:textId="1F290A64" w:rsidR="00896EDC" w:rsidRPr="004F5573" w:rsidRDefault="00E713A0" w:rsidP="00896EDC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4F5573">
        <w:rPr>
          <w:rFonts w:ascii="Times New Roman" w:eastAsia="Times New Roman" w:hAnsi="Times New Roman" w:cs="Times New Roman"/>
          <w:u w:val="single"/>
        </w:rPr>
        <w:t>Laura Rojas</w:t>
      </w:r>
      <w:r w:rsidRPr="004F5573">
        <w:rPr>
          <w:rFonts w:ascii="Times New Roman" w:eastAsia="Times New Roman" w:hAnsi="Times New Roman" w:cs="Times New Roman"/>
        </w:rPr>
        <w:t>,</w:t>
      </w:r>
      <w:r w:rsidRPr="004F5573">
        <w:rPr>
          <w:rFonts w:ascii="Times New Roman" w:eastAsia="Times New Roman" w:hAnsi="Times New Roman" w:cs="Times New Roman"/>
          <w:vertAlign w:val="superscript"/>
        </w:rPr>
        <w:t>1</w:t>
      </w:r>
      <w:r w:rsidRPr="004F5573">
        <w:rPr>
          <w:rFonts w:ascii="Times New Roman" w:eastAsia="Times New Roman" w:hAnsi="Times New Roman" w:cs="Times New Roman"/>
        </w:rPr>
        <w:t xml:space="preserve"> </w:t>
      </w:r>
      <w:r w:rsidR="00B0248F" w:rsidRPr="004F5573">
        <w:rPr>
          <w:rFonts w:ascii="Times New Roman" w:eastAsia="Times New Roman" w:hAnsi="Times New Roman" w:cs="Times New Roman"/>
        </w:rPr>
        <w:t>Amirjavad Ahmadian Hosseini,</w:t>
      </w:r>
      <w:r w:rsidR="00B0248F" w:rsidRPr="004F5573">
        <w:rPr>
          <w:rFonts w:ascii="Times New Roman" w:eastAsia="Times New Roman" w:hAnsi="Times New Roman" w:cs="Times New Roman"/>
          <w:vertAlign w:val="superscript"/>
        </w:rPr>
        <w:t>1</w:t>
      </w:r>
      <w:r w:rsidR="00B0248F" w:rsidRPr="004F5573">
        <w:rPr>
          <w:rFonts w:ascii="Times New Roman" w:eastAsia="Times New Roman" w:hAnsi="Times New Roman" w:cs="Times New Roman"/>
        </w:rPr>
        <w:t xml:space="preserve"> and Masoud Jahandar Lashaki</w:t>
      </w:r>
      <w:r w:rsidR="00B0248F" w:rsidRPr="004F5573">
        <w:rPr>
          <w:rFonts w:ascii="Times New Roman" w:eastAsia="Times New Roman" w:hAnsi="Times New Roman" w:cs="Times New Roman"/>
          <w:vertAlign w:val="superscript"/>
        </w:rPr>
        <w:t>1</w:t>
      </w:r>
    </w:p>
    <w:p w14:paraId="3FE64E68" w14:textId="02AC48B0" w:rsidR="00D60FB2" w:rsidRPr="004F5573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4F5573">
        <w:rPr>
          <w:rFonts w:ascii="Times New Roman" w:hAnsi="Times New Roman" w:cs="Times New Roman"/>
          <w:vertAlign w:val="superscript"/>
          <w:lang w:eastAsia="ja-JP"/>
        </w:rPr>
        <w:t>1</w:t>
      </w:r>
      <w:r w:rsidRPr="004F5573">
        <w:rPr>
          <w:rFonts w:ascii="Times New Roman" w:hAnsi="Times New Roman" w:cs="Times New Roman"/>
          <w:lang w:eastAsia="ja-JP"/>
        </w:rPr>
        <w:t xml:space="preserve"> Dep</w:t>
      </w:r>
      <w:r w:rsidR="00F959AF" w:rsidRPr="004F5573">
        <w:rPr>
          <w:rFonts w:ascii="Times New Roman" w:hAnsi="Times New Roman" w:cs="Times New Roman"/>
          <w:lang w:eastAsia="ja-JP"/>
        </w:rPr>
        <w:t>artment</w:t>
      </w:r>
      <w:r w:rsidRPr="004F5573">
        <w:rPr>
          <w:rFonts w:ascii="Times New Roman" w:hAnsi="Times New Roman" w:cs="Times New Roman"/>
          <w:lang w:eastAsia="ja-JP"/>
        </w:rPr>
        <w:t xml:space="preserve"> of </w:t>
      </w:r>
      <w:r w:rsidR="00F959AF" w:rsidRPr="004F5573">
        <w:rPr>
          <w:rFonts w:ascii="Times New Roman" w:hAnsi="Times New Roman" w:cs="Times New Roman"/>
          <w:lang w:eastAsia="ja-JP"/>
        </w:rPr>
        <w:t>Civil, Environmental and Geomatics</w:t>
      </w:r>
      <w:r w:rsidRPr="004F5573">
        <w:rPr>
          <w:rFonts w:ascii="Times New Roman" w:hAnsi="Times New Roman" w:cs="Times New Roman"/>
          <w:lang w:eastAsia="ja-JP"/>
        </w:rPr>
        <w:t xml:space="preserve"> Eng</w:t>
      </w:r>
      <w:r w:rsidR="00F959AF" w:rsidRPr="004F5573">
        <w:rPr>
          <w:rFonts w:ascii="Times New Roman" w:hAnsi="Times New Roman" w:cs="Times New Roman"/>
          <w:lang w:eastAsia="ja-JP"/>
        </w:rPr>
        <w:t>ineering</w:t>
      </w:r>
      <w:r w:rsidRPr="004F5573">
        <w:rPr>
          <w:rFonts w:ascii="Times New Roman" w:hAnsi="Times New Roman" w:cs="Times New Roman"/>
          <w:lang w:eastAsia="ja-JP"/>
        </w:rPr>
        <w:t xml:space="preserve">, </w:t>
      </w:r>
      <w:r w:rsidR="00F959AF" w:rsidRPr="004F5573">
        <w:rPr>
          <w:rFonts w:ascii="Times New Roman" w:hAnsi="Times New Roman" w:cs="Times New Roman"/>
          <w:lang w:eastAsia="ja-JP"/>
        </w:rPr>
        <w:t>Florida Atlantic</w:t>
      </w:r>
      <w:r w:rsidRPr="004F5573">
        <w:rPr>
          <w:rFonts w:ascii="Times New Roman" w:hAnsi="Times New Roman" w:cs="Times New Roman"/>
          <w:lang w:eastAsia="ja-JP"/>
        </w:rPr>
        <w:t xml:space="preserve"> University, </w:t>
      </w:r>
      <w:r w:rsidR="00F959AF" w:rsidRPr="004F5573">
        <w:rPr>
          <w:rFonts w:ascii="Times New Roman" w:hAnsi="Times New Roman" w:cs="Times New Roman"/>
          <w:lang w:eastAsia="ja-JP"/>
        </w:rPr>
        <w:t>777 Glades Rd, Boca Raton, FL 33431</w:t>
      </w:r>
      <w:r w:rsidRPr="004F5573">
        <w:rPr>
          <w:rFonts w:ascii="Times New Roman" w:hAnsi="Times New Roman" w:cs="Times New Roman"/>
          <w:lang w:eastAsia="ja-JP"/>
        </w:rPr>
        <w:t>, USA</w:t>
      </w:r>
      <w:r w:rsidR="007569C4" w:rsidRPr="004F5573">
        <w:rPr>
          <w:rFonts w:ascii="Times New Roman" w:hAnsi="Times New Roman" w:cs="Times New Roman"/>
          <w:lang w:eastAsia="ja-JP"/>
        </w:rPr>
        <w:br/>
      </w:r>
      <w:r w:rsidR="00F959AF" w:rsidRPr="004F5573">
        <w:rPr>
          <w:rFonts w:ascii="Times New Roman" w:hAnsi="Times New Roman" w:cs="Times New Roman"/>
          <w:lang w:eastAsia="ja-JP"/>
        </w:rPr>
        <w:t>E-</w:t>
      </w:r>
      <w:r w:rsidR="007569C4" w:rsidRPr="004F5573">
        <w:rPr>
          <w:rFonts w:ascii="Times New Roman" w:hAnsi="Times New Roman" w:cs="Times New Roman"/>
          <w:lang w:eastAsia="ja-JP"/>
        </w:rPr>
        <w:t xml:space="preserve">mail for correspondence: </w:t>
      </w:r>
      <w:hyperlink r:id="rId4" w:history="1">
        <w:r w:rsidR="00E713A0" w:rsidRPr="004F5573">
          <w:rPr>
            <w:rStyle w:val="Hyperlink"/>
            <w:rFonts w:ascii="Times New Roman" w:hAnsi="Times New Roman" w:cs="Times New Roman"/>
            <w:color w:val="auto"/>
            <w:lang w:eastAsia="ja-JP"/>
          </w:rPr>
          <w:t>lrojas</w:t>
        </w:r>
        <w:r w:rsidR="00E713A0" w:rsidRPr="004F5573">
          <w:rPr>
            <w:rStyle w:val="Hyperlink"/>
            <w:rFonts w:ascii="Times New Roman" w:hAnsi="Times New Roman" w:cs="Times New Roman"/>
            <w:color w:val="auto"/>
            <w:lang w:eastAsia="ja-JP"/>
          </w:rPr>
          <w:t>2021@fau.edu</w:t>
        </w:r>
      </w:hyperlink>
      <w:r w:rsidR="000A5AB6" w:rsidRPr="004F5573">
        <w:rPr>
          <w:rFonts w:ascii="Times New Roman" w:hAnsi="Times New Roman" w:cs="Times New Roman"/>
          <w:lang w:eastAsia="ja-JP"/>
        </w:rPr>
        <w:t xml:space="preserve"> </w:t>
      </w:r>
    </w:p>
    <w:p w14:paraId="3BD4F4E7" w14:textId="6D9A0833" w:rsidR="001041DC" w:rsidRPr="004F5573" w:rsidRDefault="002C583B" w:rsidP="00CE72BD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4F5573">
        <w:rPr>
          <w:rFonts w:ascii="Times New Roman" w:hAnsi="Times New Roman" w:cs="Times New Roman"/>
        </w:rPr>
        <w:t>The c</w:t>
      </w:r>
      <w:r w:rsidRPr="004F5573">
        <w:rPr>
          <w:rFonts w:ascii="Times New Roman" w:hAnsi="Times New Roman" w:cs="Times New Roman"/>
        </w:rPr>
        <w:t xml:space="preserve">oncentration of </w:t>
      </w:r>
      <w:r w:rsidRPr="004F5573">
        <w:rPr>
          <w:rFonts w:ascii="Times New Roman" w:hAnsi="Times New Roman" w:cs="Times New Roman"/>
        </w:rPr>
        <w:t>CO</w:t>
      </w:r>
      <w:r w:rsidRPr="004F5573">
        <w:rPr>
          <w:rFonts w:ascii="Times New Roman" w:hAnsi="Times New Roman" w:cs="Times New Roman"/>
          <w:vertAlign w:val="subscript"/>
        </w:rPr>
        <w:t>2</w:t>
      </w:r>
      <w:r w:rsidRPr="004F5573">
        <w:rPr>
          <w:rFonts w:ascii="Times New Roman" w:hAnsi="Times New Roman" w:cs="Times New Roman"/>
        </w:rPr>
        <w:t>, the primary anthropogenic greenhouse gas</w:t>
      </w:r>
      <w:r w:rsidRPr="004F5573">
        <w:rPr>
          <w:rFonts w:ascii="Times New Roman" w:hAnsi="Times New Roman" w:cs="Times New Roman"/>
        </w:rPr>
        <w:t xml:space="preserve"> (GHG)</w:t>
      </w:r>
      <w:r w:rsidRPr="004F5573">
        <w:rPr>
          <w:rFonts w:ascii="Times New Roman" w:hAnsi="Times New Roman" w:cs="Times New Roman"/>
        </w:rPr>
        <w:t xml:space="preserve"> responsible for global warming and climate change, </w:t>
      </w:r>
      <w:r w:rsidRPr="004F5573">
        <w:rPr>
          <w:rFonts w:ascii="Times New Roman" w:hAnsi="Times New Roman" w:cs="Times New Roman"/>
        </w:rPr>
        <w:t>has</w:t>
      </w:r>
      <w:r w:rsidRPr="004F5573">
        <w:rPr>
          <w:rFonts w:ascii="Times New Roman" w:hAnsi="Times New Roman" w:cs="Times New Roman"/>
        </w:rPr>
        <w:t xml:space="preserve"> experienced a rapid increase since the Industrial Revolution. The present levels of CO</w:t>
      </w:r>
      <w:r w:rsidRPr="004F5573">
        <w:rPr>
          <w:rFonts w:ascii="Times New Roman" w:hAnsi="Times New Roman" w:cs="Times New Roman"/>
          <w:vertAlign w:val="subscript"/>
        </w:rPr>
        <w:t>2</w:t>
      </w:r>
      <w:r w:rsidRPr="004F5573">
        <w:rPr>
          <w:rFonts w:ascii="Times New Roman" w:hAnsi="Times New Roman" w:cs="Times New Roman"/>
        </w:rPr>
        <w:t xml:space="preserve"> surpass any recorded in human history, indicating a global average concentration of </w:t>
      </w:r>
      <w:r w:rsidRPr="004F5573">
        <w:rPr>
          <w:rFonts w:ascii="Times New Roman" w:hAnsi="Times New Roman" w:cs="Times New Roman"/>
        </w:rPr>
        <w:t>425</w:t>
      </w:r>
      <w:r w:rsidRPr="004F5573">
        <w:rPr>
          <w:rFonts w:ascii="Times New Roman" w:hAnsi="Times New Roman" w:cs="Times New Roman"/>
        </w:rPr>
        <w:t xml:space="preserve"> parts per million</w:t>
      </w:r>
      <w:r w:rsidRPr="004F5573">
        <w:rPr>
          <w:rFonts w:ascii="Times New Roman" w:hAnsi="Times New Roman" w:cs="Times New Roman"/>
        </w:rPr>
        <w:t xml:space="preserve"> by volume</w:t>
      </w:r>
      <w:r w:rsidRPr="004F5573">
        <w:rPr>
          <w:rFonts w:ascii="Times New Roman" w:hAnsi="Times New Roman" w:cs="Times New Roman"/>
        </w:rPr>
        <w:t xml:space="preserve"> (ppm</w:t>
      </w:r>
      <w:r w:rsidR="004F5573" w:rsidRPr="004F5573">
        <w:rPr>
          <w:rFonts w:ascii="Times New Roman" w:hAnsi="Times New Roman" w:cs="Times New Roman"/>
        </w:rPr>
        <w:t>v</w:t>
      </w:r>
      <w:r w:rsidRPr="004F5573">
        <w:rPr>
          <w:rFonts w:ascii="Times New Roman" w:hAnsi="Times New Roman" w:cs="Times New Roman"/>
        </w:rPr>
        <w:t>) in 202</w:t>
      </w:r>
      <w:r w:rsidRPr="004F5573">
        <w:rPr>
          <w:rFonts w:ascii="Times New Roman" w:hAnsi="Times New Roman" w:cs="Times New Roman"/>
        </w:rPr>
        <w:t>4</w:t>
      </w:r>
      <w:r w:rsidRPr="004F5573">
        <w:rPr>
          <w:rFonts w:ascii="Times New Roman" w:hAnsi="Times New Roman" w:cs="Times New Roman"/>
        </w:rPr>
        <w:t>, as opposed to 315 ppm</w:t>
      </w:r>
      <w:r w:rsidR="004F5573" w:rsidRPr="004F5573">
        <w:rPr>
          <w:rFonts w:ascii="Times New Roman" w:hAnsi="Times New Roman" w:cs="Times New Roman"/>
        </w:rPr>
        <w:t>v</w:t>
      </w:r>
      <w:r w:rsidRPr="004F5573">
        <w:rPr>
          <w:rFonts w:ascii="Times New Roman" w:hAnsi="Times New Roman" w:cs="Times New Roman"/>
        </w:rPr>
        <w:t xml:space="preserve"> in 1958</w:t>
      </w:r>
      <w:r w:rsidRPr="004F5573">
        <w:rPr>
          <w:rFonts w:ascii="Times New Roman" w:hAnsi="Times New Roman" w:cs="Times New Roman"/>
        </w:rPr>
        <w:t>.</w:t>
      </w:r>
      <w:r w:rsidRPr="004F5573">
        <w:rPr>
          <w:rFonts w:ascii="Times New Roman" w:hAnsi="Times New Roman" w:cs="Times New Roman"/>
        </w:rPr>
        <w:t xml:space="preserve"> Additionally, there is a potential for it to reach 800 ppm</w:t>
      </w:r>
      <w:r w:rsidRPr="004F5573">
        <w:rPr>
          <w:rFonts w:ascii="Times New Roman" w:hAnsi="Times New Roman" w:cs="Times New Roman"/>
        </w:rPr>
        <w:t>v</w:t>
      </w:r>
      <w:r w:rsidRPr="004F5573">
        <w:rPr>
          <w:rFonts w:ascii="Times New Roman" w:hAnsi="Times New Roman" w:cs="Times New Roman"/>
        </w:rPr>
        <w:t xml:space="preserve"> if </w:t>
      </w:r>
      <w:r w:rsidR="004F5573">
        <w:rPr>
          <w:rFonts w:ascii="Times New Roman" w:hAnsi="Times New Roman" w:cs="Times New Roman"/>
        </w:rPr>
        <w:t xml:space="preserve">multifaceted </w:t>
      </w:r>
      <w:r w:rsidRPr="004F5573">
        <w:rPr>
          <w:rFonts w:ascii="Times New Roman" w:hAnsi="Times New Roman" w:cs="Times New Roman"/>
        </w:rPr>
        <w:t>solutions are not implemented. This increase in emissions has caused a nearly 2-degree Fahrenheit rise in global temperatures since the pre-industrial era. CO</w:t>
      </w:r>
      <w:r w:rsidRPr="004F5573">
        <w:rPr>
          <w:rFonts w:ascii="Times New Roman" w:hAnsi="Times New Roman" w:cs="Times New Roman"/>
          <w:vertAlign w:val="subscript"/>
        </w:rPr>
        <w:t>2</w:t>
      </w:r>
      <w:r w:rsidRPr="004F5573">
        <w:rPr>
          <w:rFonts w:ascii="Times New Roman" w:hAnsi="Times New Roman" w:cs="Times New Roman"/>
        </w:rPr>
        <w:t xml:space="preserve"> capture from the atmosphere, also known as </w:t>
      </w:r>
      <w:r w:rsidRPr="004F5573">
        <w:rPr>
          <w:rFonts w:ascii="Times New Roman" w:hAnsi="Times New Roman" w:cs="Times New Roman"/>
        </w:rPr>
        <w:t>d</w:t>
      </w:r>
      <w:r w:rsidRPr="004F5573">
        <w:rPr>
          <w:rFonts w:ascii="Times New Roman" w:hAnsi="Times New Roman" w:cs="Times New Roman"/>
        </w:rPr>
        <w:t xml:space="preserve">irect </w:t>
      </w:r>
      <w:r w:rsidRPr="004F5573">
        <w:rPr>
          <w:rFonts w:ascii="Times New Roman" w:hAnsi="Times New Roman" w:cs="Times New Roman"/>
        </w:rPr>
        <w:t>a</w:t>
      </w:r>
      <w:r w:rsidRPr="004F5573">
        <w:rPr>
          <w:rFonts w:ascii="Times New Roman" w:hAnsi="Times New Roman" w:cs="Times New Roman"/>
        </w:rPr>
        <w:t xml:space="preserve">ir </w:t>
      </w:r>
      <w:r w:rsidRPr="004F5573">
        <w:rPr>
          <w:rFonts w:ascii="Times New Roman" w:hAnsi="Times New Roman" w:cs="Times New Roman"/>
        </w:rPr>
        <w:t>c</w:t>
      </w:r>
      <w:r w:rsidRPr="004F5573">
        <w:rPr>
          <w:rFonts w:ascii="Times New Roman" w:hAnsi="Times New Roman" w:cs="Times New Roman"/>
        </w:rPr>
        <w:t xml:space="preserve">apture (DAC), </w:t>
      </w:r>
      <w:r w:rsidRPr="004F5573">
        <w:rPr>
          <w:rFonts w:ascii="Times New Roman" w:hAnsi="Times New Roman" w:cs="Times New Roman"/>
        </w:rPr>
        <w:t>might help us address this problem</w:t>
      </w:r>
      <w:r w:rsidRPr="004F5573">
        <w:rPr>
          <w:rFonts w:ascii="Times New Roman" w:hAnsi="Times New Roman" w:cs="Times New Roman"/>
        </w:rPr>
        <w:t xml:space="preserve">. The U.S. Department of Energy </w:t>
      </w:r>
      <w:r w:rsidRPr="004F5573">
        <w:rPr>
          <w:rFonts w:ascii="Times New Roman" w:hAnsi="Times New Roman" w:cs="Times New Roman"/>
        </w:rPr>
        <w:t>has endorsed</w:t>
      </w:r>
      <w:r w:rsidRPr="004F5573">
        <w:rPr>
          <w:rFonts w:ascii="Times New Roman" w:hAnsi="Times New Roman" w:cs="Times New Roman"/>
        </w:rPr>
        <w:t xml:space="preserve"> DAC </w:t>
      </w:r>
      <w:r w:rsidRPr="004F5573">
        <w:rPr>
          <w:rFonts w:ascii="Times New Roman" w:hAnsi="Times New Roman" w:cs="Times New Roman"/>
        </w:rPr>
        <w:t>as one of the helpful strategies to</w:t>
      </w:r>
      <w:r w:rsidRPr="004F5573">
        <w:rPr>
          <w:rFonts w:ascii="Times New Roman" w:hAnsi="Times New Roman" w:cs="Times New Roman"/>
        </w:rPr>
        <w:t xml:space="preserve"> achiev</w:t>
      </w:r>
      <w:r w:rsidRPr="004F5573">
        <w:rPr>
          <w:rFonts w:ascii="Times New Roman" w:hAnsi="Times New Roman" w:cs="Times New Roman"/>
        </w:rPr>
        <w:t>e</w:t>
      </w:r>
      <w:r w:rsidRPr="004F5573">
        <w:rPr>
          <w:rFonts w:ascii="Times New Roman" w:hAnsi="Times New Roman" w:cs="Times New Roman"/>
        </w:rPr>
        <w:t xml:space="preserve"> net-zero emissions by 2050. Owing to their superior performance, DAC applications involving cyclic adsorption-desorption of CO</w:t>
      </w:r>
      <w:r w:rsidRPr="004F5573">
        <w:rPr>
          <w:rFonts w:ascii="Times New Roman" w:hAnsi="Times New Roman" w:cs="Times New Roman"/>
          <w:vertAlign w:val="subscript"/>
        </w:rPr>
        <w:t>2</w:t>
      </w:r>
      <w:r w:rsidRPr="004F5573">
        <w:rPr>
          <w:rFonts w:ascii="Times New Roman" w:hAnsi="Times New Roman" w:cs="Times New Roman"/>
        </w:rPr>
        <w:t xml:space="preserve"> by amine-</w:t>
      </w:r>
      <w:r w:rsidR="004F5573">
        <w:rPr>
          <w:rFonts w:ascii="Times New Roman" w:hAnsi="Times New Roman" w:cs="Times New Roman"/>
        </w:rPr>
        <w:t>modified</w:t>
      </w:r>
      <w:r w:rsidRPr="004F5573">
        <w:rPr>
          <w:rFonts w:ascii="Times New Roman" w:hAnsi="Times New Roman" w:cs="Times New Roman"/>
        </w:rPr>
        <w:t xml:space="preserve"> silica materials (i.e., “aminosilica”) </w:t>
      </w:r>
      <w:r w:rsidR="004F5573">
        <w:rPr>
          <w:rFonts w:ascii="Times New Roman" w:hAnsi="Times New Roman" w:cs="Times New Roman"/>
        </w:rPr>
        <w:t>have</w:t>
      </w:r>
      <w:r w:rsidRPr="004F5573">
        <w:rPr>
          <w:rFonts w:ascii="Times New Roman" w:hAnsi="Times New Roman" w:cs="Times New Roman"/>
        </w:rPr>
        <w:t xml:space="preserve"> </w:t>
      </w:r>
      <w:r w:rsidR="004F5573">
        <w:rPr>
          <w:rFonts w:ascii="Times New Roman" w:hAnsi="Times New Roman" w:cs="Times New Roman"/>
        </w:rPr>
        <w:t>gained momentum in recent years</w:t>
      </w:r>
      <w:r w:rsidRPr="004F5573">
        <w:rPr>
          <w:rFonts w:ascii="Times New Roman" w:hAnsi="Times New Roman" w:cs="Times New Roman"/>
        </w:rPr>
        <w:t>.</w:t>
      </w:r>
      <w:r w:rsidR="004F5573">
        <w:rPr>
          <w:rFonts w:ascii="Times New Roman" w:hAnsi="Times New Roman" w:cs="Times New Roman"/>
        </w:rPr>
        <w:t xml:space="preserve"> </w:t>
      </w:r>
      <w:r w:rsidRPr="004F5573">
        <w:rPr>
          <w:rFonts w:ascii="Times New Roman" w:hAnsi="Times New Roman" w:cs="Times New Roman"/>
        </w:rPr>
        <w:t xml:space="preserve">These technologies have achieved significant attention </w:t>
      </w:r>
      <w:r w:rsidR="004F5573">
        <w:rPr>
          <w:rFonts w:ascii="Times New Roman" w:hAnsi="Times New Roman" w:cs="Times New Roman"/>
        </w:rPr>
        <w:t>because of</w:t>
      </w:r>
      <w:r w:rsidRPr="004F5573">
        <w:rPr>
          <w:rFonts w:ascii="Times New Roman" w:hAnsi="Times New Roman" w:cs="Times New Roman"/>
        </w:rPr>
        <w:t xml:space="preserve"> their potential for commercialization and positive environmental impact to mitigate climate change. T</w:t>
      </w:r>
      <w:r w:rsidR="004F5573">
        <w:rPr>
          <w:rFonts w:ascii="Times New Roman" w:hAnsi="Times New Roman" w:cs="Times New Roman"/>
        </w:rPr>
        <w:t>o that end, t</w:t>
      </w:r>
      <w:r w:rsidRPr="004F5573">
        <w:rPr>
          <w:rFonts w:ascii="Times New Roman" w:hAnsi="Times New Roman" w:cs="Times New Roman"/>
        </w:rPr>
        <w:t xml:space="preserve">his project aims to develop materials suitable for </w:t>
      </w:r>
      <w:r w:rsidR="004F5573">
        <w:rPr>
          <w:rFonts w:ascii="Times New Roman" w:hAnsi="Times New Roman" w:cs="Times New Roman"/>
        </w:rPr>
        <w:t>DAC</w:t>
      </w:r>
      <w:r w:rsidRPr="004F5573">
        <w:rPr>
          <w:rFonts w:ascii="Times New Roman" w:hAnsi="Times New Roman" w:cs="Times New Roman"/>
        </w:rPr>
        <w:t xml:space="preserve"> applications. Th</w:t>
      </w:r>
      <w:r w:rsidR="004F5573">
        <w:rPr>
          <w:rFonts w:ascii="Times New Roman" w:hAnsi="Times New Roman" w:cs="Times New Roman"/>
        </w:rPr>
        <w:t>i</w:t>
      </w:r>
      <w:r w:rsidRPr="004F5573">
        <w:rPr>
          <w:rFonts w:ascii="Times New Roman" w:hAnsi="Times New Roman" w:cs="Times New Roman"/>
        </w:rPr>
        <w:t>s</w:t>
      </w:r>
      <w:r w:rsidR="004F5573">
        <w:rPr>
          <w:rFonts w:ascii="Times New Roman" w:hAnsi="Times New Roman" w:cs="Times New Roman"/>
        </w:rPr>
        <w:t xml:space="preserve"> research</w:t>
      </w:r>
      <w:r w:rsidRPr="004F5573">
        <w:rPr>
          <w:rFonts w:ascii="Times New Roman" w:hAnsi="Times New Roman" w:cs="Times New Roman"/>
        </w:rPr>
        <w:t xml:space="preserve"> involves the synthesis of </w:t>
      </w:r>
      <w:r w:rsidR="004F5573">
        <w:rPr>
          <w:rFonts w:ascii="Times New Roman" w:hAnsi="Times New Roman" w:cs="Times New Roman"/>
        </w:rPr>
        <w:t>tria</w:t>
      </w:r>
      <w:r w:rsidRPr="004F5573">
        <w:rPr>
          <w:rFonts w:ascii="Times New Roman" w:hAnsi="Times New Roman" w:cs="Times New Roman"/>
        </w:rPr>
        <w:t xml:space="preserve">mine-grafted silica adsorbent materials. </w:t>
      </w:r>
      <w:r w:rsidR="004F5573">
        <w:rPr>
          <w:rFonts w:ascii="Times New Roman" w:hAnsi="Times New Roman" w:cs="Times New Roman"/>
        </w:rPr>
        <w:t>Tria</w:t>
      </w:r>
      <w:r w:rsidRPr="004F5573">
        <w:rPr>
          <w:rFonts w:ascii="Times New Roman" w:hAnsi="Times New Roman" w:cs="Times New Roman"/>
        </w:rPr>
        <w:t>min</w:t>
      </w:r>
      <w:r w:rsidR="004F5573">
        <w:rPr>
          <w:rFonts w:ascii="Times New Roman" w:hAnsi="Times New Roman" w:cs="Times New Roman"/>
        </w:rPr>
        <w:t>osilane</w:t>
      </w:r>
      <w:r w:rsidRPr="004F5573">
        <w:rPr>
          <w:rFonts w:ascii="Times New Roman" w:hAnsi="Times New Roman" w:cs="Times New Roman"/>
        </w:rPr>
        <w:t xml:space="preserve"> </w:t>
      </w:r>
      <w:r w:rsidR="004F5573">
        <w:rPr>
          <w:rFonts w:ascii="Times New Roman" w:hAnsi="Times New Roman" w:cs="Times New Roman"/>
        </w:rPr>
        <w:t>was</w:t>
      </w:r>
      <w:r w:rsidRPr="004F5573">
        <w:rPr>
          <w:rFonts w:ascii="Times New Roman" w:hAnsi="Times New Roman" w:cs="Times New Roman"/>
        </w:rPr>
        <w:t xml:space="preserve"> chosen for this purpose </w:t>
      </w:r>
      <w:r w:rsidR="004F5573">
        <w:rPr>
          <w:rFonts w:ascii="Times New Roman" w:hAnsi="Times New Roman" w:cs="Times New Roman"/>
        </w:rPr>
        <w:t>because it possesses two secondary amines and one primary amine, providing</w:t>
      </w:r>
      <w:r w:rsidRPr="004F5573">
        <w:rPr>
          <w:rFonts w:ascii="Times New Roman" w:hAnsi="Times New Roman" w:cs="Times New Roman"/>
        </w:rPr>
        <w:t xml:space="preserve"> </w:t>
      </w:r>
      <w:r w:rsidR="004F5573">
        <w:rPr>
          <w:rFonts w:ascii="Times New Roman" w:hAnsi="Times New Roman" w:cs="Times New Roman"/>
        </w:rPr>
        <w:t xml:space="preserve">a </w:t>
      </w:r>
      <w:r w:rsidRPr="004F5573">
        <w:rPr>
          <w:rFonts w:ascii="Times New Roman" w:hAnsi="Times New Roman" w:cs="Times New Roman"/>
        </w:rPr>
        <w:t xml:space="preserve">high affinity for </w:t>
      </w:r>
      <w:r w:rsidR="004F5573">
        <w:rPr>
          <w:rFonts w:ascii="Times New Roman" w:hAnsi="Times New Roman" w:cs="Times New Roman"/>
        </w:rPr>
        <w:t>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>
        <w:rPr>
          <w:rFonts w:ascii="Times New Roman" w:hAnsi="Times New Roman" w:cs="Times New Roman"/>
        </w:rPr>
        <w:t xml:space="preserve"> capture</w:t>
      </w:r>
      <w:r w:rsidRPr="004F5573">
        <w:rPr>
          <w:rFonts w:ascii="Times New Roman" w:hAnsi="Times New Roman" w:cs="Times New Roman"/>
        </w:rPr>
        <w:t xml:space="preserve">. </w:t>
      </w:r>
      <w:r w:rsidR="00CE72BD" w:rsidRPr="00CE72BD">
        <w:rPr>
          <w:rFonts w:ascii="Times New Roman" w:hAnsi="Times New Roman" w:cs="Times New Roman"/>
        </w:rPr>
        <w:t xml:space="preserve">CARiACT G-10 silica (Fuji Silysia Chemical Ltd.) </w:t>
      </w:r>
      <w:r w:rsidR="00CE72BD">
        <w:rPr>
          <w:rFonts w:ascii="Times New Roman" w:hAnsi="Times New Roman" w:cs="Times New Roman"/>
        </w:rPr>
        <w:t>was</w:t>
      </w:r>
      <w:r w:rsidR="00CE72BD" w:rsidRPr="00CE72BD">
        <w:rPr>
          <w:rFonts w:ascii="Times New Roman" w:hAnsi="Times New Roman" w:cs="Times New Roman"/>
        </w:rPr>
        <w:t xml:space="preserve"> used </w:t>
      </w:r>
      <w:r w:rsidR="00CE72BD">
        <w:rPr>
          <w:rFonts w:ascii="Times New Roman" w:hAnsi="Times New Roman" w:cs="Times New Roman"/>
        </w:rPr>
        <w:t xml:space="preserve">as support </w:t>
      </w:r>
      <w:r w:rsidR="00CE72BD" w:rsidRPr="00CE72BD">
        <w:rPr>
          <w:rFonts w:ascii="Times New Roman" w:hAnsi="Times New Roman" w:cs="Times New Roman"/>
        </w:rPr>
        <w:t xml:space="preserve">for the synthesis of aminosilicas. G-10 silica is commercially available at a low </w:t>
      </w:r>
      <w:r w:rsidR="00CE72BD" w:rsidRPr="00CE72BD">
        <w:rPr>
          <w:rFonts w:ascii="Times New Roman" w:hAnsi="Times New Roman" w:cs="Times New Roman"/>
        </w:rPr>
        <w:t>cost and</w:t>
      </w:r>
      <w:r w:rsidR="00CE72BD" w:rsidRPr="00CE72BD">
        <w:rPr>
          <w:rFonts w:ascii="Times New Roman" w:hAnsi="Times New Roman" w:cs="Times New Roman"/>
        </w:rPr>
        <w:t xml:space="preserve"> has a high pore volume (1.2 cm</w:t>
      </w:r>
      <w:r w:rsidR="00CE72BD" w:rsidRPr="00CE72BD">
        <w:rPr>
          <w:rFonts w:ascii="Times New Roman" w:hAnsi="Times New Roman" w:cs="Times New Roman"/>
          <w:vertAlign w:val="superscript"/>
        </w:rPr>
        <w:t>3</w:t>
      </w:r>
      <w:r w:rsidR="00CE72BD" w:rsidRPr="00CE72BD">
        <w:rPr>
          <w:rFonts w:ascii="Times New Roman" w:hAnsi="Times New Roman" w:cs="Times New Roman"/>
        </w:rPr>
        <w:t>/g), large surface area (300 m</w:t>
      </w:r>
      <w:r w:rsidR="00CE72BD" w:rsidRPr="00CE72BD">
        <w:rPr>
          <w:rFonts w:ascii="Times New Roman" w:hAnsi="Times New Roman" w:cs="Times New Roman"/>
          <w:vertAlign w:val="superscript"/>
        </w:rPr>
        <w:t>2</w:t>
      </w:r>
      <w:r w:rsidR="00CE72BD" w:rsidRPr="00CE72BD">
        <w:rPr>
          <w:rFonts w:ascii="Times New Roman" w:hAnsi="Times New Roman" w:cs="Times New Roman"/>
        </w:rPr>
        <w:t>/g), small particle size (5 µm), and wide pores (20 nm</w:t>
      </w:r>
      <w:r w:rsidR="00CE72BD" w:rsidRPr="00CE72BD">
        <w:rPr>
          <w:rFonts w:ascii="Times New Roman" w:hAnsi="Times New Roman" w:cs="Times New Roman"/>
        </w:rPr>
        <w:t>), enabling</w:t>
      </w:r>
      <w:r w:rsidR="00CE72BD" w:rsidRPr="00CE72BD">
        <w:rPr>
          <w:rFonts w:ascii="Times New Roman" w:hAnsi="Times New Roman" w:cs="Times New Roman"/>
        </w:rPr>
        <w:t xml:space="preserve"> it to attain high amine loadings and CO</w:t>
      </w:r>
      <w:r w:rsidR="00CE72BD" w:rsidRPr="00CE72BD">
        <w:rPr>
          <w:rFonts w:ascii="Times New Roman" w:hAnsi="Times New Roman" w:cs="Times New Roman"/>
          <w:vertAlign w:val="subscript"/>
        </w:rPr>
        <w:t>2</w:t>
      </w:r>
      <w:r w:rsidR="00CE72BD" w:rsidRPr="00CE72BD">
        <w:rPr>
          <w:rFonts w:ascii="Times New Roman" w:hAnsi="Times New Roman" w:cs="Times New Roman"/>
        </w:rPr>
        <w:t xml:space="preserve"> uptakes, without compromising adsorption kinetics</w:t>
      </w:r>
      <w:r w:rsidR="00CE72BD">
        <w:rPr>
          <w:rFonts w:ascii="Times New Roman" w:hAnsi="Times New Roman" w:cs="Times New Roman"/>
        </w:rPr>
        <w:t xml:space="preserve">. </w:t>
      </w:r>
      <w:r w:rsidRPr="004F5573">
        <w:rPr>
          <w:rFonts w:ascii="Times New Roman" w:hAnsi="Times New Roman" w:cs="Times New Roman"/>
        </w:rPr>
        <w:t xml:space="preserve">Different </w:t>
      </w:r>
      <w:r w:rsidR="004F5573">
        <w:rPr>
          <w:rFonts w:ascii="Times New Roman" w:hAnsi="Times New Roman" w:cs="Times New Roman"/>
        </w:rPr>
        <w:t>materials</w:t>
      </w:r>
      <w:r w:rsidRPr="004F5573">
        <w:rPr>
          <w:rFonts w:ascii="Times New Roman" w:hAnsi="Times New Roman" w:cs="Times New Roman"/>
        </w:rPr>
        <w:t xml:space="preserve"> were produced by implementing </w:t>
      </w:r>
      <w:r w:rsidR="004F5573">
        <w:rPr>
          <w:rFonts w:ascii="Times New Roman" w:hAnsi="Times New Roman" w:cs="Times New Roman"/>
        </w:rPr>
        <w:t xml:space="preserve">the </w:t>
      </w:r>
      <w:r w:rsidRPr="004F5573">
        <w:rPr>
          <w:rFonts w:ascii="Times New Roman" w:hAnsi="Times New Roman" w:cs="Times New Roman"/>
        </w:rPr>
        <w:t xml:space="preserve">grafting technique and varying factors such as the amount of water and triamine to synthesize unique samples. </w:t>
      </w:r>
      <w:r w:rsidR="004F5573" w:rsidRPr="004F5573">
        <w:rPr>
          <w:rFonts w:ascii="Times New Roman" w:hAnsi="Times New Roman" w:cs="Times New Roman"/>
        </w:rPr>
        <w:t>Using thermogravimetric analysis (TGA), the materials were screened for equilibrium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uptake, amine efficiency, and adsorption kinetics in the presence of dry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(400 ppmv, balance nitrogen) at 25 °C. One best-performing material with the highest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uptake and fastest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adsorption kinetics was chosen for rigorous 50-cycle testing under the above adsorption conditions, followed by regeneration at 120 °C in the presence of N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. </w:t>
      </w:r>
      <w:r w:rsidR="004F5573">
        <w:rPr>
          <w:rFonts w:ascii="Times New Roman" w:hAnsi="Times New Roman" w:cs="Times New Roman"/>
        </w:rPr>
        <w:t>T</w:t>
      </w:r>
      <w:r w:rsidR="004F5573" w:rsidRPr="004F5573">
        <w:rPr>
          <w:rFonts w:ascii="Times New Roman" w:hAnsi="Times New Roman" w:cs="Times New Roman"/>
        </w:rPr>
        <w:t>he results indicated stable performance as evidenced by maintaining 99% of the initial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uptake throughout cycling. Using column-breakthrough testing, the performance of the final candidate was also evaluated in the presence of humid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>, confirming previous reports that humidity boosts the CO</w:t>
      </w:r>
      <w:r w:rsidR="004F5573" w:rsidRPr="004F5573">
        <w:rPr>
          <w:rFonts w:ascii="Times New Roman" w:hAnsi="Times New Roman" w:cs="Times New Roman"/>
          <w:vertAlign w:val="subscript"/>
        </w:rPr>
        <w:t>2</w:t>
      </w:r>
      <w:r w:rsidR="004F5573" w:rsidRPr="004F5573">
        <w:rPr>
          <w:rFonts w:ascii="Times New Roman" w:hAnsi="Times New Roman" w:cs="Times New Roman"/>
        </w:rPr>
        <w:t xml:space="preserve"> uptake of amine-modified materials. These results suggest the high potential of aminosilicas for DAC applications.</w:t>
      </w:r>
    </w:p>
    <w:sectPr w:rsidR="001041DC" w:rsidRPr="004F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663D1"/>
    <w:rsid w:val="000A5AB6"/>
    <w:rsid w:val="000B53FF"/>
    <w:rsid w:val="000B71D0"/>
    <w:rsid w:val="001041DC"/>
    <w:rsid w:val="001642EE"/>
    <w:rsid w:val="00171D2B"/>
    <w:rsid w:val="00174F1C"/>
    <w:rsid w:val="001B6C02"/>
    <w:rsid w:val="001D06DE"/>
    <w:rsid w:val="002262F1"/>
    <w:rsid w:val="00245A73"/>
    <w:rsid w:val="00253E55"/>
    <w:rsid w:val="00277E9A"/>
    <w:rsid w:val="002C583B"/>
    <w:rsid w:val="003037F8"/>
    <w:rsid w:val="00322D4A"/>
    <w:rsid w:val="00351311"/>
    <w:rsid w:val="003E4733"/>
    <w:rsid w:val="004000BC"/>
    <w:rsid w:val="00422460"/>
    <w:rsid w:val="00441CA8"/>
    <w:rsid w:val="004832A8"/>
    <w:rsid w:val="004A7BF2"/>
    <w:rsid w:val="004F5573"/>
    <w:rsid w:val="005705CA"/>
    <w:rsid w:val="005904BB"/>
    <w:rsid w:val="00596E2B"/>
    <w:rsid w:val="005A5EBE"/>
    <w:rsid w:val="005E5430"/>
    <w:rsid w:val="006D58C8"/>
    <w:rsid w:val="006E6DBC"/>
    <w:rsid w:val="00756167"/>
    <w:rsid w:val="007569C4"/>
    <w:rsid w:val="00896EDC"/>
    <w:rsid w:val="00920AB4"/>
    <w:rsid w:val="00925475"/>
    <w:rsid w:val="00965ABE"/>
    <w:rsid w:val="00AB6081"/>
    <w:rsid w:val="00AC1B00"/>
    <w:rsid w:val="00AE7ACA"/>
    <w:rsid w:val="00B0248F"/>
    <w:rsid w:val="00B145CA"/>
    <w:rsid w:val="00B434B9"/>
    <w:rsid w:val="00B753E3"/>
    <w:rsid w:val="00B811C0"/>
    <w:rsid w:val="00BB0642"/>
    <w:rsid w:val="00BC1B78"/>
    <w:rsid w:val="00C06E3D"/>
    <w:rsid w:val="00CE72BD"/>
    <w:rsid w:val="00D34B10"/>
    <w:rsid w:val="00D60FB2"/>
    <w:rsid w:val="00D85DE7"/>
    <w:rsid w:val="00DA7576"/>
    <w:rsid w:val="00DC5133"/>
    <w:rsid w:val="00E127F1"/>
    <w:rsid w:val="00E63E14"/>
    <w:rsid w:val="00E713A0"/>
    <w:rsid w:val="00E96C55"/>
    <w:rsid w:val="00EE2C29"/>
    <w:rsid w:val="00F959AF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832A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3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ojas2021@fa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473</Words>
  <Characters>2774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Masoud Jahandar Lashaki</cp:lastModifiedBy>
  <cp:revision>8</cp:revision>
  <dcterms:created xsi:type="dcterms:W3CDTF">2024-04-01T16:55:00Z</dcterms:created>
  <dcterms:modified xsi:type="dcterms:W3CDTF">2024-04-01T18:23:00Z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6c85df9971188482fa7f2b747648d8218d617d5918c3af4d45fc59852539f9bf</vt:lpwstr>
  </property>
</Properties>
</file>